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 О Я С Н И Т Е Л ЬНАЯ ЗАПИСКА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изменению параметров внесенного в Думу Белоярского района проекта решения Думы Белоярского района «О бюджете Белоярского района на 2023 год и плановый период 2024 и 2025 годов»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законом Ханты-Мансийского автономного округа - Югры от 24 ноября 2022 года № 132-оз «О бюджете Ханты-Мансийского автономного округа - Югры на 2023 год и на плановый период 2024 и 2025 годов», сумма межбюджетных трансфертов, предусмотренных бюджету Белоярского района из бюджета автономного округа, по сравнению с проектом соответствующего закона в первом чтении корректируется в сторону увеличения по доходам и расходам бюджета района на новый бюджетный период в сумме: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(+)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101 868,2 тыс. рублей в 2023 году;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(+) 7 179,6 тыс. рублей в 2024 году,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 (+) 54,2 тыс. рублей в 2025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С учётом изменений параметры бюджета Белоярского района предлагается утвердить: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  <w:t>на 2023 год: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>доходы бюджета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zh-CN"/>
        </w:rPr>
        <w:t xml:space="preserve">4 514 090,6 тыс.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рублей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  <w:t>;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расходы бюджета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  <w:t xml:space="preserve"> 4 586 668,3 тыс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. рублей;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прогнозируемый дефицит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  <w:t xml:space="preserve"> 72 577,7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zh-CN"/>
        </w:rPr>
        <w:t xml:space="preserve"> тыс.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 рублей;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  <w:t>на 2024 год: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доходы бюджета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zh-CN"/>
        </w:rPr>
        <w:t>3 820 846,5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 тыс. рублей;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расходы бюджета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zh-CN"/>
        </w:rPr>
        <w:t>3 888 542,1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 тыс. рублей;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дефицит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zh-CN"/>
        </w:rPr>
        <w:t>67 695,6 тыс.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 рублей;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  <w:t>на 2025 год: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доходы бюджета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zh-CN"/>
        </w:rPr>
        <w:t>3 472 211,0 тыс.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 рублей;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расходы бюджета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zh-CN"/>
        </w:rPr>
        <w:t xml:space="preserve">3 541 574,3 тыс.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рублей;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дефицит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zh-CN"/>
        </w:rPr>
        <w:t>69 363,3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 тыс. рублей.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Дефицит бюджета района в трехлетнем периоде остался без изменений.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тыс. рублей</w:t>
      </w:r>
    </w:p>
    <w:tbl>
      <w:tblPr>
        <w:tblStyle w:val="11"/>
        <w:tblW w:w="10915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064"/>
        <w:gridCol w:w="1015"/>
        <w:gridCol w:w="1073"/>
        <w:gridCol w:w="964"/>
        <w:gridCol w:w="991"/>
        <w:gridCol w:w="1045"/>
        <w:gridCol w:w="1015"/>
        <w:gridCol w:w="1027"/>
        <w:gridCol w:w="1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0915" w:type="dxa"/>
            <w:gridSpan w:val="10"/>
          </w:tcPr>
          <w:p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Параметры бюджета Белоярского района на 2023-2025 годы с учетом изменений проекта закона автономного округа о бюджете на 2023-2025 годы во втором чтении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56" w:type="dxa"/>
            <w:vMerge w:val="restart"/>
          </w:tcPr>
          <w:p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2" w:type="dxa"/>
            <w:gridSpan w:val="3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Проект решения Думы, прошедший процедуру согласования и получения заключения</w:t>
            </w:r>
          </w:p>
        </w:tc>
        <w:tc>
          <w:tcPr>
            <w:tcW w:w="3000" w:type="dxa"/>
            <w:gridSpan w:val="3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Изменение объемов трансфертов</w:t>
            </w:r>
          </w:p>
        </w:tc>
        <w:tc>
          <w:tcPr>
            <w:tcW w:w="3207" w:type="dxa"/>
            <w:gridSpan w:val="3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Проект решения Думы с учетом  изменений, в соответствии с уточненным проектом закона о бюджете округа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556" w:type="dxa"/>
            <w:vMerge w:val="continue"/>
          </w:tcPr>
          <w:p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073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96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991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045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1027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165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2025 год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56" w:type="dxa"/>
          </w:tcPr>
          <w:p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 xml:space="preserve">Доходы всего, </w:t>
            </w:r>
          </w:p>
        </w:tc>
        <w:tc>
          <w:tcPr>
            <w:tcW w:w="1064" w:type="dxa"/>
            <w:vAlign w:val="center"/>
          </w:tcPr>
          <w:p>
            <w:pPr>
              <w:widowControl w:val="0"/>
              <w:spacing w:after="0" w:line="240" w:lineRule="auto"/>
              <w:ind w:left="-103" w:right="-11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4 412 222,4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3 813 666,9</w:t>
            </w:r>
          </w:p>
        </w:tc>
        <w:tc>
          <w:tcPr>
            <w:tcW w:w="1073" w:type="dxa"/>
            <w:vAlign w:val="center"/>
          </w:tcPr>
          <w:p>
            <w:pPr>
              <w:widowControl w:val="0"/>
              <w:spacing w:after="0" w:line="240" w:lineRule="auto"/>
              <w:ind w:left="-144" w:right="-1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3 472 156,8</w:t>
            </w:r>
          </w:p>
        </w:tc>
        <w:tc>
          <w:tcPr>
            <w:tcW w:w="964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101 868,2 </w:t>
            </w:r>
          </w:p>
        </w:tc>
        <w:tc>
          <w:tcPr>
            <w:tcW w:w="991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7 179,6</w:t>
            </w:r>
          </w:p>
        </w:tc>
        <w:tc>
          <w:tcPr>
            <w:tcW w:w="1045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54,2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ind w:left="-109" w:right="-99" w:rightChars="-4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4 514 090,6</w:t>
            </w:r>
          </w:p>
        </w:tc>
        <w:tc>
          <w:tcPr>
            <w:tcW w:w="1027" w:type="dxa"/>
            <w:vAlign w:val="center"/>
          </w:tcPr>
          <w:p>
            <w:pPr>
              <w:widowControl w:val="0"/>
              <w:spacing w:after="0" w:line="240" w:lineRule="auto"/>
              <w:ind w:left="-141" w:right="-99" w:rightChars="-45" w:firstLine="10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3 820 846,5</w:t>
            </w:r>
          </w:p>
        </w:tc>
        <w:tc>
          <w:tcPr>
            <w:tcW w:w="1165" w:type="dxa"/>
            <w:vAlign w:val="center"/>
          </w:tcPr>
          <w:p>
            <w:pPr>
              <w:widowControl w:val="0"/>
              <w:spacing w:after="0" w:line="240" w:lineRule="auto"/>
              <w:ind w:left="-45" w:right="-99" w:rightChars="-4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3 472 211,0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556" w:type="dxa"/>
          </w:tcPr>
          <w:p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в том числе безвозмездные поступления, их них:</w:t>
            </w:r>
          </w:p>
        </w:tc>
        <w:tc>
          <w:tcPr>
            <w:tcW w:w="1064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3 539 281,8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3 010 362,1</w:t>
            </w:r>
          </w:p>
        </w:tc>
        <w:tc>
          <w:tcPr>
            <w:tcW w:w="1073" w:type="dxa"/>
            <w:vAlign w:val="center"/>
          </w:tcPr>
          <w:p>
            <w:pPr>
              <w:widowControl w:val="0"/>
              <w:spacing w:after="0" w:line="240" w:lineRule="auto"/>
              <w:ind w:left="-144" w:right="-160" w:firstLine="3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2 645 098,2</w:t>
            </w:r>
          </w:p>
        </w:tc>
        <w:tc>
          <w:tcPr>
            <w:tcW w:w="964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101 868,2 </w:t>
            </w:r>
          </w:p>
        </w:tc>
        <w:tc>
          <w:tcPr>
            <w:tcW w:w="991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7 179,6</w:t>
            </w:r>
          </w:p>
        </w:tc>
        <w:tc>
          <w:tcPr>
            <w:tcW w:w="1045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54,2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ind w:left="-109" w:right="-99" w:rightChars="-4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3 641 150,0</w:t>
            </w:r>
          </w:p>
        </w:tc>
        <w:tc>
          <w:tcPr>
            <w:tcW w:w="1027" w:type="dxa"/>
            <w:vAlign w:val="center"/>
          </w:tcPr>
          <w:p>
            <w:pPr>
              <w:widowControl w:val="0"/>
              <w:spacing w:after="0" w:line="240" w:lineRule="auto"/>
              <w:ind w:right="-99" w:rightChars="-4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3 017 541,7</w:t>
            </w:r>
          </w:p>
        </w:tc>
        <w:tc>
          <w:tcPr>
            <w:tcW w:w="1165" w:type="dxa"/>
            <w:vAlign w:val="center"/>
          </w:tcPr>
          <w:p>
            <w:pPr>
              <w:widowControl w:val="0"/>
              <w:spacing w:after="0" w:line="240" w:lineRule="auto"/>
              <w:ind w:left="-45" w:right="-99" w:rightChars="-4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2 645 152,4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56" w:type="dxa"/>
          </w:tcPr>
          <w:p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из бюджета автономного округа</w:t>
            </w:r>
          </w:p>
        </w:tc>
        <w:tc>
          <w:tcPr>
            <w:tcW w:w="1064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3 340 055,5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2 823 289,2</w:t>
            </w:r>
          </w:p>
        </w:tc>
        <w:tc>
          <w:tcPr>
            <w:tcW w:w="1073" w:type="dxa"/>
            <w:vAlign w:val="center"/>
          </w:tcPr>
          <w:p>
            <w:pPr>
              <w:widowControl w:val="0"/>
              <w:spacing w:after="0" w:line="240" w:lineRule="auto"/>
              <w:ind w:left="-144" w:right="-160" w:firstLine="32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2 458 498,8</w:t>
            </w:r>
          </w:p>
        </w:tc>
        <w:tc>
          <w:tcPr>
            <w:tcW w:w="964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 xml:space="preserve">101 868,2 </w:t>
            </w:r>
          </w:p>
        </w:tc>
        <w:tc>
          <w:tcPr>
            <w:tcW w:w="991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7 179,6</w:t>
            </w:r>
          </w:p>
        </w:tc>
        <w:tc>
          <w:tcPr>
            <w:tcW w:w="1045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54,2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3 441 923,7</w:t>
            </w:r>
          </w:p>
        </w:tc>
        <w:tc>
          <w:tcPr>
            <w:tcW w:w="1027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2 830 468,8</w:t>
            </w:r>
          </w:p>
        </w:tc>
        <w:tc>
          <w:tcPr>
            <w:tcW w:w="1165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2 458 553,0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56" w:type="dxa"/>
          </w:tcPr>
          <w:p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из бюджетов поселений в рамках переданных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4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179 226,30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187 072,9</w:t>
            </w:r>
          </w:p>
        </w:tc>
        <w:tc>
          <w:tcPr>
            <w:tcW w:w="1073" w:type="dxa"/>
            <w:vAlign w:val="center"/>
          </w:tcPr>
          <w:p>
            <w:pPr>
              <w:widowControl w:val="0"/>
              <w:spacing w:after="0" w:line="240" w:lineRule="auto"/>
              <w:ind w:left="-144" w:right="-160" w:firstLine="32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186 599,4</w:t>
            </w:r>
          </w:p>
        </w:tc>
        <w:tc>
          <w:tcPr>
            <w:tcW w:w="964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0,00</w:t>
            </w:r>
          </w:p>
        </w:tc>
        <w:tc>
          <w:tcPr>
            <w:tcW w:w="991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0,00</w:t>
            </w:r>
          </w:p>
        </w:tc>
        <w:tc>
          <w:tcPr>
            <w:tcW w:w="1045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0,00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179 226,30</w:t>
            </w:r>
          </w:p>
        </w:tc>
        <w:tc>
          <w:tcPr>
            <w:tcW w:w="1027" w:type="dxa"/>
            <w:vAlign w:val="center"/>
          </w:tcPr>
          <w:p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187 072,9</w:t>
            </w:r>
          </w:p>
        </w:tc>
        <w:tc>
          <w:tcPr>
            <w:tcW w:w="1165" w:type="dxa"/>
            <w:vAlign w:val="center"/>
          </w:tcPr>
          <w:p>
            <w:pPr>
              <w:widowControl w:val="0"/>
              <w:spacing w:after="0" w:line="240" w:lineRule="auto"/>
              <w:ind w:left="-144" w:right="-160" w:firstLine="32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186 599,4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556" w:type="dxa"/>
          </w:tcPr>
          <w:p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Прочие безвозмездные поступления</w:t>
            </w:r>
          </w:p>
        </w:tc>
        <w:tc>
          <w:tcPr>
            <w:tcW w:w="1064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20 000,0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073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964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991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045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20 000,0</w:t>
            </w:r>
          </w:p>
        </w:tc>
        <w:tc>
          <w:tcPr>
            <w:tcW w:w="1027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165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5"/>
                <w:szCs w:val="15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556" w:type="dxa"/>
          </w:tcPr>
          <w:p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Расходы</w:t>
            </w:r>
          </w:p>
        </w:tc>
        <w:tc>
          <w:tcPr>
            <w:tcW w:w="1064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4 484 800,1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3 881 362,5</w:t>
            </w:r>
          </w:p>
        </w:tc>
        <w:tc>
          <w:tcPr>
            <w:tcW w:w="1073" w:type="dxa"/>
            <w:vAlign w:val="center"/>
          </w:tcPr>
          <w:p>
            <w:pPr>
              <w:widowControl w:val="0"/>
              <w:spacing w:after="0" w:line="240" w:lineRule="auto"/>
              <w:ind w:left="-144" w:right="-160" w:firstLine="3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3 541 520,1</w:t>
            </w:r>
          </w:p>
        </w:tc>
        <w:tc>
          <w:tcPr>
            <w:tcW w:w="964" w:type="dxa"/>
            <w:vAlign w:val="center"/>
          </w:tcPr>
          <w:p>
            <w:pPr>
              <w:widowControl w:val="0"/>
              <w:spacing w:after="0" w:line="240" w:lineRule="auto"/>
              <w:ind w:left="-115" w:right="-10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101 868,2</w:t>
            </w:r>
          </w:p>
        </w:tc>
        <w:tc>
          <w:tcPr>
            <w:tcW w:w="991" w:type="dxa"/>
            <w:vAlign w:val="center"/>
          </w:tcPr>
          <w:p>
            <w:pPr>
              <w:widowControl w:val="0"/>
              <w:spacing w:after="0" w:line="240" w:lineRule="auto"/>
              <w:ind w:left="-107" w:right="-16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7 179,6</w:t>
            </w:r>
          </w:p>
        </w:tc>
        <w:tc>
          <w:tcPr>
            <w:tcW w:w="1045" w:type="dxa"/>
            <w:vAlign w:val="center"/>
          </w:tcPr>
          <w:p>
            <w:pPr>
              <w:widowControl w:val="0"/>
              <w:spacing w:after="0" w:line="240" w:lineRule="auto"/>
              <w:ind w:left="-43" w:right="-10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54,2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4 586 668,3</w:t>
            </w:r>
          </w:p>
        </w:tc>
        <w:tc>
          <w:tcPr>
            <w:tcW w:w="1027" w:type="dxa"/>
            <w:vAlign w:val="center"/>
          </w:tcPr>
          <w:p>
            <w:pPr>
              <w:widowControl w:val="0"/>
              <w:spacing w:after="0" w:line="240" w:lineRule="auto"/>
              <w:ind w:left="-141" w:right="-99" w:rightChars="-45" w:firstLine="14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3 888 542,1</w:t>
            </w:r>
          </w:p>
        </w:tc>
        <w:tc>
          <w:tcPr>
            <w:tcW w:w="1165" w:type="dxa"/>
            <w:vAlign w:val="center"/>
          </w:tcPr>
          <w:p>
            <w:pPr>
              <w:widowControl w:val="0"/>
              <w:spacing w:after="0" w:line="240" w:lineRule="auto"/>
              <w:ind w:left="-45" w:right="-99" w:rightChars="-45" w:hanging="4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3 541 574,3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56" w:type="dxa"/>
          </w:tcPr>
          <w:p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Дефицит</w:t>
            </w:r>
          </w:p>
        </w:tc>
        <w:tc>
          <w:tcPr>
            <w:tcW w:w="1064" w:type="dxa"/>
            <w:vAlign w:val="center"/>
          </w:tcPr>
          <w:p>
            <w:pPr>
              <w:widowControl w:val="0"/>
              <w:spacing w:after="0" w:line="240" w:lineRule="auto"/>
              <w:ind w:left="-103" w:right="-11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72 577,7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67 695,6</w:t>
            </w:r>
          </w:p>
        </w:tc>
        <w:tc>
          <w:tcPr>
            <w:tcW w:w="1073" w:type="dxa"/>
            <w:vAlign w:val="center"/>
          </w:tcPr>
          <w:p>
            <w:pPr>
              <w:widowControl w:val="0"/>
              <w:spacing w:after="0" w:line="240" w:lineRule="auto"/>
              <w:ind w:left="-144" w:right="-160" w:firstLine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69 363,3</w:t>
            </w:r>
          </w:p>
        </w:tc>
        <w:tc>
          <w:tcPr>
            <w:tcW w:w="96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1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45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15" w:type="dxa"/>
            <w:vAlign w:val="center"/>
          </w:tcPr>
          <w:p>
            <w:pPr>
              <w:widowControl w:val="0"/>
              <w:spacing w:after="0" w:line="240" w:lineRule="auto"/>
              <w:ind w:left="-103" w:right="-11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72 577,7</w:t>
            </w:r>
          </w:p>
        </w:tc>
        <w:tc>
          <w:tcPr>
            <w:tcW w:w="1027" w:type="dxa"/>
            <w:vAlign w:val="center"/>
          </w:tcPr>
          <w:p>
            <w:pPr>
              <w:widowControl w:val="0"/>
              <w:spacing w:after="0" w:line="240" w:lineRule="auto"/>
              <w:ind w:left="-107" w:right="-6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67 695,0</w:t>
            </w:r>
          </w:p>
        </w:tc>
        <w:tc>
          <w:tcPr>
            <w:tcW w:w="1165" w:type="dxa"/>
            <w:vAlign w:val="center"/>
          </w:tcPr>
          <w:p>
            <w:pPr>
              <w:widowControl w:val="0"/>
              <w:spacing w:after="0" w:line="240" w:lineRule="auto"/>
              <w:ind w:left="-144" w:right="-160" w:firstLine="14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69 363,3</w:t>
            </w: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Соответствующие объемы в 2023-2025 годах откорректированы за счёт: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b/>
          <w:sz w:val="24"/>
          <w:szCs w:val="24"/>
        </w:rPr>
        <w:t>уменьшения</w:t>
      </w:r>
      <w:r>
        <w:rPr>
          <w:rFonts w:ascii="Times New Roman" w:hAnsi="Times New Roman" w:cs="Times New Roman"/>
          <w:sz w:val="24"/>
          <w:szCs w:val="24"/>
        </w:rPr>
        <w:t xml:space="preserve"> субвенций бюджету району из бюджета автономного округа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2023 год (-) 1 144,0 тыс. рублей,  на 2024 год (-) 929,3 тыс. рублей, на 2025 год (-) 1 297,8 тыс. рублей, </w:t>
      </w:r>
      <w:r>
        <w:rPr>
          <w:rFonts w:ascii="Times New Roman" w:hAnsi="Times New Roman" w:cs="Times New Roman"/>
          <w:bCs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связи с принятым решением по реализации отдельных мероприятий государственного полномочия по организации мероприятий при осуществлении деятельности по обращению с животными без владельцев на региональном уровне, уменьшен объем субвенции, предоставляемой муниципальным образованиям автономного округа на реализацию государственного полномочия автономного округа и перераспределен в указанных объемах БУ «Ветеринарный центр» на финансовое обеспечение государственного задания на оказание государственных  услуг.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увеличения субсидий бюджету району из бюджета автономного округа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2023 год (+) 33 012,2 тыс. рублей, на 2024 год (+) 8 108,9 тыс. рублей, на 2025 год (+) 1 352,0 тыс. рублей, в том числе путем: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</w:rPr>
        <w:t>увеличения</w:t>
      </w:r>
      <w:r>
        <w:rPr>
          <w:rFonts w:ascii="Times New Roman" w:hAnsi="Times New Roman" w:cs="Times New Roman"/>
          <w:sz w:val="24"/>
          <w:szCs w:val="24"/>
        </w:rPr>
        <w:t xml:space="preserve"> плановых назначений по 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организациях: </w:t>
      </w:r>
    </w:p>
    <w:p>
      <w:pPr>
        <w:spacing w:after="0" w:line="240" w:lineRule="auto"/>
        <w:ind w:firstLine="4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2023 год (+) 1 479,3 тыс. рублей (902,4 тыс. рублей за счет средств бюджета автономного округа, 576,9 тыс. рублей за счет средств федерального бюджета);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>
        <w:rPr>
          <w:rFonts w:ascii="Times New Roman" w:hAnsi="Times New Roman"/>
          <w:color w:val="000000"/>
          <w:sz w:val="24"/>
          <w:szCs w:val="24"/>
        </w:rPr>
        <w:t>2024 год (+) 1 458,3 тыс. рублей (889,6 тыс. рублей за счет средств бюджета автономного округа, 568,7 тыс. рублей за счет средств федерального бюджета);</w:t>
      </w:r>
      <w:r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2025 год (+) 1 458,3 тыс. рублей (889,6 тыс. рублей за счет средств бюджета автономного округа, 568,7 тыс. рублей за счет средств федерального бюджета);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</w:rPr>
        <w:t>увеличения</w:t>
      </w:r>
      <w:r>
        <w:rPr>
          <w:rFonts w:ascii="Times New Roman" w:hAnsi="Times New Roman" w:cs="Times New Roman"/>
          <w:sz w:val="24"/>
          <w:szCs w:val="24"/>
        </w:rPr>
        <w:t xml:space="preserve"> плановых назначений по субсидии на создание школ креативных индустрий: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2023 год (+) 27 670,5 тыс. рублей (1 196,2 тыс. рублей за счет средств бюджета автономного округа, 26 474,3 тыс. рублей за счет средств федерального бюджета);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</w:rPr>
        <w:t>уменьшения</w:t>
      </w:r>
      <w:r>
        <w:rPr>
          <w:rFonts w:ascii="Times New Roman" w:hAnsi="Times New Roman" w:cs="Times New Roman"/>
          <w:sz w:val="24"/>
          <w:szCs w:val="24"/>
        </w:rPr>
        <w:t xml:space="preserve"> плановых назначений по субсидии на подготовку проектов межевания земельных участков и проведение кадастровых работ: </w:t>
      </w:r>
    </w:p>
    <w:p>
      <w:pPr>
        <w:spacing w:after="0" w:line="240" w:lineRule="auto"/>
        <w:ind w:firstLine="4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2023 год (-) 197,8 тыс. рублей (108,8 тыс. рублей за счет средств бюджета автономного округа, 89,0 тыс. рублей за счет средств федерального бюджета); 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>
        <w:rPr>
          <w:rFonts w:ascii="Times New Roman" w:hAnsi="Times New Roman"/>
          <w:color w:val="000000"/>
          <w:sz w:val="24"/>
          <w:szCs w:val="24"/>
        </w:rPr>
        <w:t>2024 год (-) 204,5 тыс. рублей (112,5 тыс. рублей за счет средств бюджета автономного округа, 92,0 тыс. рублей за счет средств федерального бюджета);</w:t>
      </w:r>
      <w:r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2025 год (-) 211,9 тыс. рублей (112,5 тыс. рублей за счет средств бюджета автономного округа, 92,0 тыс. рублей за счет средств федерального бюджета);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/>
          <w:color w:val="000000"/>
          <w:sz w:val="24"/>
          <w:szCs w:val="24"/>
        </w:rPr>
        <w:t>увеличения</w:t>
      </w:r>
      <w:r>
        <w:rPr>
          <w:rFonts w:ascii="Times New Roman" w:hAnsi="Times New Roman" w:cs="Times New Roman"/>
          <w:sz w:val="24"/>
          <w:szCs w:val="24"/>
        </w:rPr>
        <w:t xml:space="preserve"> плановых назначений по субсидии на реализацию программ формирования современной городской среды (общественная территория «Сквер Геологов»): </w:t>
      </w:r>
    </w:p>
    <w:p>
      <w:pPr>
        <w:spacing w:after="0" w:line="240" w:lineRule="auto"/>
        <w:ind w:firstLine="4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2023 год (+) 4 060,2 тыс. рублей за счет средств федерального бюджета;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2024 год (+) 4 514,1 тыс. рублей за счет средств федерального бюджета;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/>
          <w:color w:val="000000"/>
          <w:sz w:val="24"/>
          <w:szCs w:val="24"/>
        </w:rPr>
        <w:t>увеличения</w:t>
      </w:r>
      <w:r>
        <w:rPr>
          <w:rFonts w:ascii="Times New Roman" w:hAnsi="Times New Roman" w:cs="Times New Roman"/>
          <w:sz w:val="24"/>
          <w:szCs w:val="24"/>
        </w:rPr>
        <w:t xml:space="preserve"> плановых назначений по субсидии на технической оснащение региональных и муниципальных музеев: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2024 год (+) 2 341,0 тыс. рублей (1 428,0 тыс. рублей за счет средств бюджета автономного округа, 913,0 тыс. рублей за счет средств федерального бюджета);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/>
          <w:color w:val="000000"/>
          <w:sz w:val="24"/>
          <w:szCs w:val="24"/>
        </w:rPr>
        <w:t>увеличения</w:t>
      </w:r>
      <w:r>
        <w:rPr>
          <w:rFonts w:ascii="Times New Roman" w:hAnsi="Times New Roman" w:cs="Times New Roman"/>
          <w:sz w:val="24"/>
          <w:szCs w:val="24"/>
        </w:rPr>
        <w:t xml:space="preserve"> плановых назначений по субсидии на государственную поддержку отрасли культуры: </w:t>
      </w:r>
    </w:p>
    <w:p>
      <w:pPr>
        <w:tabs>
          <w:tab w:val="left" w:pos="709"/>
          <w:tab w:val="left" w:pos="851"/>
        </w:tabs>
        <w:spacing w:after="0" w:line="240" w:lineRule="auto"/>
        <w:ind w:firstLine="4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2025 год (+) 105,6 тыс. рублей (60,2 тыс. рублей за счет средств бюджета автономного округа, 45,4 тыс. рублей за счет средств федерального бюджета).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b/>
          <w:sz w:val="24"/>
          <w:szCs w:val="24"/>
        </w:rPr>
        <w:t>увеличения</w:t>
      </w:r>
      <w:r>
        <w:rPr>
          <w:rFonts w:ascii="Times New Roman" w:hAnsi="Times New Roman" w:cs="Times New Roman"/>
          <w:sz w:val="24"/>
          <w:szCs w:val="24"/>
        </w:rPr>
        <w:t xml:space="preserve"> иных межбюджетных трансфертов бюджету району из бюджета автономного округа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2023 год (+) 70 000,00 тыс. рублей </w:t>
      </w:r>
      <w:r>
        <w:rPr>
          <w:rFonts w:ascii="Times New Roman" w:hAnsi="Times New Roman" w:cs="Times New Roman"/>
          <w:bCs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за счёт средств федерального бюджета (Парк спорта и отдуха «Белая горка»).</w:t>
      </w:r>
    </w:p>
    <w:p>
      <w:pPr>
        <w:spacing w:after="0" w:line="240" w:lineRule="auto"/>
        <w:ind w:firstLine="408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4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Изменения по </w:t>
      </w:r>
      <w:r>
        <w:rPr>
          <w:rFonts w:ascii="Times New Roman" w:hAnsi="Times New Roman" w:cs="Times New Roman"/>
          <w:sz w:val="24"/>
          <w:szCs w:val="24"/>
          <w:lang w:val="ru-RU"/>
        </w:rPr>
        <w:t>доходам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Белоярского района </w:t>
      </w:r>
      <w:r>
        <w:rPr>
          <w:rFonts w:ascii="Times New Roman" w:hAnsi="Times New Roman" w:cs="Times New Roman"/>
          <w:sz w:val="24"/>
          <w:szCs w:val="24"/>
          <w:lang w:val="ru-RU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2023-2025 год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отражены в Приложении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к настоящей пояснительной. </w:t>
      </w:r>
    </w:p>
    <w:p>
      <w:pPr>
        <w:spacing w:after="0" w:line="240" w:lineRule="auto"/>
        <w:ind w:firstLine="4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Изменения по муниципальным программам Белоярского района в 2023-2025 годах отражены в Приложении 2 к настоящей пояснительной.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</w:p>
    <w:sectPr>
      <w:pgSz w:w="11906" w:h="16838"/>
      <w:pgMar w:top="567" w:right="850" w:bottom="1134" w:left="1701" w:header="0" w:footer="0" w:gutter="0"/>
      <w:cols w:space="720" w:num="1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Liberation Sans">
    <w:panose1 w:val="020B0604020202020204"/>
    <w:charset w:val="CC"/>
    <w:family w:val="swiss"/>
    <w:pitch w:val="default"/>
    <w:sig w:usb0="E0000AFF" w:usb1="500078FF" w:usb2="00000021" w:usb3="00000000" w:csb0="600001BF" w:csb1="DFF7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08"/>
  <w:autoHyphenation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12EFE"/>
    <w:rsid w:val="0009267C"/>
    <w:rsid w:val="001212B3"/>
    <w:rsid w:val="001A3396"/>
    <w:rsid w:val="00212F13"/>
    <w:rsid w:val="002A0A56"/>
    <w:rsid w:val="00331427"/>
    <w:rsid w:val="003A28FE"/>
    <w:rsid w:val="00403B04"/>
    <w:rsid w:val="004A792C"/>
    <w:rsid w:val="00534E8B"/>
    <w:rsid w:val="0055257B"/>
    <w:rsid w:val="005825BD"/>
    <w:rsid w:val="006D2819"/>
    <w:rsid w:val="007051CC"/>
    <w:rsid w:val="007572DC"/>
    <w:rsid w:val="007A3B1E"/>
    <w:rsid w:val="008069B1"/>
    <w:rsid w:val="00812EFE"/>
    <w:rsid w:val="0081330C"/>
    <w:rsid w:val="00833148"/>
    <w:rsid w:val="008952C1"/>
    <w:rsid w:val="008C026E"/>
    <w:rsid w:val="00945219"/>
    <w:rsid w:val="00997DEA"/>
    <w:rsid w:val="009A0912"/>
    <w:rsid w:val="009B6CDB"/>
    <w:rsid w:val="00A43753"/>
    <w:rsid w:val="00A61037"/>
    <w:rsid w:val="00AB0925"/>
    <w:rsid w:val="00BE0C78"/>
    <w:rsid w:val="00C16F38"/>
    <w:rsid w:val="00C4667C"/>
    <w:rsid w:val="00C929DC"/>
    <w:rsid w:val="00CC3FBD"/>
    <w:rsid w:val="00D54298"/>
    <w:rsid w:val="00DD3EC7"/>
    <w:rsid w:val="00DD4532"/>
    <w:rsid w:val="00E01596"/>
    <w:rsid w:val="00E22441"/>
    <w:rsid w:val="00E701FE"/>
    <w:rsid w:val="00E85797"/>
    <w:rsid w:val="00FF2A75"/>
    <w:rsid w:val="15386825"/>
    <w:rsid w:val="2B07144F"/>
    <w:rsid w:val="40C82668"/>
    <w:rsid w:val="435F5802"/>
    <w:rsid w:val="49415BD7"/>
    <w:rsid w:val="5A01592D"/>
    <w:rsid w:val="6D0C1013"/>
    <w:rsid w:val="7F8C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uppressAutoHyphens/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6">
    <w:name w:val="index 1"/>
    <w:basedOn w:val="1"/>
    <w:next w:val="1"/>
    <w:semiHidden/>
    <w:unhideWhenUsed/>
    <w:qFormat/>
    <w:uiPriority w:val="99"/>
  </w:style>
  <w:style w:type="paragraph" w:styleId="7">
    <w:name w:val="Body Text"/>
    <w:basedOn w:val="1"/>
    <w:qFormat/>
    <w:uiPriority w:val="0"/>
    <w:pPr>
      <w:spacing w:after="140" w:line="276" w:lineRule="auto"/>
    </w:pPr>
  </w:style>
  <w:style w:type="paragraph" w:styleId="8">
    <w:name w:val="index heading"/>
    <w:basedOn w:val="1"/>
    <w:next w:val="6"/>
    <w:qFormat/>
    <w:uiPriority w:val="0"/>
    <w:pPr>
      <w:suppressLineNumbers/>
    </w:pPr>
    <w:rPr>
      <w:rFonts w:cs="Mangal"/>
    </w:rPr>
  </w:style>
  <w:style w:type="paragraph" w:styleId="9">
    <w:name w:val="Title"/>
    <w:basedOn w:val="1"/>
    <w:next w:val="7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10">
    <w:name w:val="List"/>
    <w:basedOn w:val="7"/>
    <w:qFormat/>
    <w:uiPriority w:val="0"/>
    <w:rPr>
      <w:rFonts w:cs="Mangal"/>
    </w:rPr>
  </w:style>
  <w:style w:type="table" w:styleId="11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Текст выноски Знак"/>
    <w:basedOn w:val="2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diakov.net</Company>
  <Pages>3</Pages>
  <Words>1021</Words>
  <Characters>5820</Characters>
  <Lines>48</Lines>
  <Paragraphs>13</Paragraphs>
  <TotalTime>1</TotalTime>
  <ScaleCrop>false</ScaleCrop>
  <LinksUpToDate>false</LinksUpToDate>
  <CharactersWithSpaces>6828</CharactersWithSpaces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2019-11-21T10:26:00Z</dcterms:created>
  <dc:creator>Орлова Ольга Николаевна</dc:creator>
  <cp:lastModifiedBy>OrlovaON</cp:lastModifiedBy>
  <cp:lastPrinted>2021-11-30T12:05:00Z</cp:lastPrinted>
  <dcterms:modified xsi:type="dcterms:W3CDTF">2022-12-02T12:17:16Z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1049-11.2.0.11417</vt:lpwstr>
  </property>
  <property fmtid="{D5CDD505-2E9C-101B-9397-08002B2CF9AE}" pid="10" name="ICV">
    <vt:lpwstr>9233798C039940BEA02F4600A6078040</vt:lpwstr>
  </property>
</Properties>
</file>